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FA" w:rsidRPr="00B55FEF" w:rsidRDefault="00887EFA" w:rsidP="00887E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EFA">
        <w:rPr>
          <w:rFonts w:ascii="Times New Roman" w:eastAsia="Times New Roman" w:hAnsi="Times New Roman" w:cs="Times New Roman"/>
          <w:b/>
          <w:bCs/>
          <w:color w:val="484848"/>
          <w:sz w:val="28"/>
          <w:szCs w:val="24"/>
          <w:lang w:eastAsia="ru-RU"/>
        </w:rPr>
        <w:t>Показатели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в Омской области  на 2017 год и на плановый период  и на плановый период 2018 и 2019 годов</w:t>
      </w:r>
    </w:p>
    <w:p w:rsidR="00887EFA" w:rsidRPr="00B55FEF" w:rsidRDefault="00887EFA" w:rsidP="00887EFA">
      <w:pPr>
        <w:spacing w:after="0" w:line="324" w:lineRule="atLeas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качества медицинской помощи являются:</w:t>
      </w:r>
    </w:p>
    <w:p w:rsidR="00887EFA" w:rsidRPr="00B55FEF" w:rsidRDefault="00887EFA" w:rsidP="00887EFA">
      <w:pPr>
        <w:spacing w:after="0" w:line="324" w:lineRule="atLeas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удовлетворенность населения медицинской помощью, в том числе городского и сельского населения (процентов от числа опрошенных):</w:t>
      </w:r>
    </w:p>
    <w:p w:rsidR="00887EFA" w:rsidRPr="00B55FEF" w:rsidRDefault="00887EFA" w:rsidP="00887EFA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>2017   год - 52,0, в том числе городск</w:t>
      </w:r>
      <w:bookmarkStart w:id="0" w:name="_GoBack"/>
      <w:bookmarkEnd w:id="0"/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населения - 52,0, сельского населения - 52,0; 2018 год - 53,0, в том числе городского населения - 53,0, сельского населения - 53,0; 2019 год - 53,0, в том числе городского населения - 53,0, сельского населения - 53,0;</w:t>
      </w:r>
    </w:p>
    <w:p w:rsidR="00887EFA" w:rsidRPr="00B55FEF" w:rsidRDefault="00887EFA" w:rsidP="00887EFA">
      <w:pPr>
        <w:spacing w:after="0" w:line="324" w:lineRule="atLeas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смертность населения в трудоспособном возрасте (число умерших в трудоспособном возрасте на 100 тыс. человек населения): 2017 год - 581,0;</w:t>
      </w:r>
    </w:p>
    <w:p w:rsidR="00887EFA" w:rsidRPr="00B55FEF" w:rsidRDefault="00887EFA" w:rsidP="00887EFA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>2018  год - 578,0; 2019 год - 576,0;</w:t>
      </w:r>
    </w:p>
    <w:p w:rsidR="00887EFA" w:rsidRPr="00B55FEF" w:rsidRDefault="00887EFA" w:rsidP="00887EFA">
      <w:pPr>
        <w:spacing w:after="0" w:line="324" w:lineRule="atLeas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доля умерших в трудоспособном возрасте на дому в общем количестве умерших в трудоспособном возрасте (процентов): 2017 год - 24,0; 2018 год - 23,8; 2019 год-23,7;</w:t>
      </w:r>
    </w:p>
    <w:p w:rsidR="00887EFA" w:rsidRPr="00B55FEF" w:rsidRDefault="00887EFA" w:rsidP="00887EFA">
      <w:pPr>
        <w:spacing w:after="0" w:line="324" w:lineRule="atLeas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материнская смертность (на 100 тыс. человек, родившихся живыми): 2017 год - 11,5; 2018 год - 11,4; 2019 год - 11,3;</w:t>
      </w:r>
    </w:p>
    <w:p w:rsidR="00887EFA" w:rsidRPr="00B55FEF" w:rsidRDefault="00887EFA" w:rsidP="00887EFA">
      <w:pPr>
        <w:spacing w:after="0" w:line="324" w:lineRule="atLeas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младенческая смертность, в том числе в городской и сельской местности (на 1 тыс. человек, родившихся живыми): 2017 год - 7,1, в том числе в городской местности - 6,0, сельской местности - 8,3; 2018 год - 7,0, в том числе в городской местности - 5,9, сельской местности - 8,1; 2019 год - 7,0, в том числе в городской местности - 5,9, сельской местности - 8,1;</w:t>
      </w:r>
      <w:proofErr w:type="gramEnd"/>
    </w:p>
    <w:p w:rsidR="00887EFA" w:rsidRPr="00B55FEF" w:rsidRDefault="00887EFA" w:rsidP="00887EFA">
      <w:pPr>
        <w:spacing w:after="0" w:line="324" w:lineRule="atLeas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доля умерших в возрасте до 1 года на дому в общем количестве умерших в возрасте до 1 года (процентов): 2017 год - 14,8; 2018 год - 14,5; 2019 год —14,2;</w:t>
      </w:r>
    </w:p>
    <w:p w:rsidR="00887EFA" w:rsidRPr="00B55FEF" w:rsidRDefault="00887EFA" w:rsidP="00887EFA">
      <w:pPr>
        <w:spacing w:after="0" w:line="324" w:lineRule="atLeas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>-смертность детей в возрасте 0-4 лет (на 100 тыс. человек населения соответствующего возраста): 2017 год - 205; 2018 год - 204,5; 2019 год - 204;</w:t>
      </w:r>
    </w:p>
    <w:p w:rsidR="00887EFA" w:rsidRPr="00B55FEF" w:rsidRDefault="00887EFA" w:rsidP="00887EFA">
      <w:pPr>
        <w:spacing w:after="0" w:line="324" w:lineRule="atLeas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доля умерших в возрасте 0-4 лет на дому в общем количестве умерших в возрасте 0-4 лет (процентов): 2017 год - 18,7; 2018 год - 18,6; 2019 год - 18,4;</w:t>
      </w:r>
    </w:p>
    <w:p w:rsidR="00887EFA" w:rsidRPr="00B55FEF" w:rsidRDefault="00887EFA" w:rsidP="00887EFA">
      <w:pPr>
        <w:spacing w:after="0" w:line="324" w:lineRule="atLeas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смертность детей в возрасте </w:t>
      </w:r>
      <w:r w:rsidRPr="00887EFA">
        <w:rPr>
          <w:rFonts w:ascii="Times New Roman" w:eastAsia="Times New Roman" w:hAnsi="Times New Roman" w:cs="Times New Roman"/>
          <w:sz w:val="28"/>
          <w:szCs w:val="28"/>
          <w:lang w:eastAsia="ru-RU"/>
        </w:rPr>
        <w:t>0-17</w:t>
      </w:r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(на 100 тыс. человек населения соответствующего возраста): 2017 год - 8,0; 2018 год - 7,5; 2019 год - 7,5;</w:t>
      </w:r>
    </w:p>
    <w:p w:rsidR="00887EFA" w:rsidRPr="00B55FEF" w:rsidRDefault="00887EFA" w:rsidP="00887EFA">
      <w:pPr>
        <w:spacing w:after="0" w:line="324" w:lineRule="atLeas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доля умерших в возрасте </w:t>
      </w:r>
      <w:r w:rsidRPr="00887EFA">
        <w:rPr>
          <w:rFonts w:ascii="Times New Roman" w:eastAsia="Times New Roman" w:hAnsi="Times New Roman" w:cs="Times New Roman"/>
          <w:sz w:val="28"/>
          <w:szCs w:val="28"/>
          <w:lang w:eastAsia="ru-RU"/>
        </w:rPr>
        <w:t>0-17</w:t>
      </w:r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 дому в общем количестве умерших в возрасте </w:t>
      </w:r>
      <w:r w:rsidRPr="00887EFA">
        <w:rPr>
          <w:rFonts w:ascii="Times New Roman" w:eastAsia="Times New Roman" w:hAnsi="Times New Roman" w:cs="Times New Roman"/>
          <w:sz w:val="28"/>
          <w:szCs w:val="28"/>
          <w:lang w:eastAsia="ru-RU"/>
        </w:rPr>
        <w:t>0-17</w:t>
      </w:r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(процентов): 2017 год - 24,7; 2018 год - 24,4; 2019 год-24,1;</w:t>
      </w:r>
    </w:p>
    <w:p w:rsidR="00887EFA" w:rsidRPr="00B55FEF" w:rsidRDefault="00887EFA" w:rsidP="00887EFA">
      <w:pPr>
        <w:spacing w:after="0" w:line="324" w:lineRule="atLeas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 (процентов):</w:t>
      </w:r>
    </w:p>
    <w:p w:rsidR="00887EFA" w:rsidRPr="00B55FEF" w:rsidRDefault="00887EFA" w:rsidP="00887EFA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>2017   год - 51,0; 2018 год - 51,4; 2019 год - 51,6;</w:t>
      </w:r>
    </w:p>
    <w:p w:rsidR="00887EFA" w:rsidRPr="00B55FEF" w:rsidRDefault="00887EFA" w:rsidP="00887EFA">
      <w:pPr>
        <w:spacing w:after="0" w:line="324" w:lineRule="atLeas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 доля впервые выявленных случаев фиброзно-кавернозного туберкулеза в общем количестве выявленных случаев туберкулеза в течение года (процентов): 2017 год - 1,2; 2018 год - 1,1; 2019 год - 1,0;</w:t>
      </w:r>
    </w:p>
    <w:p w:rsidR="00887EFA" w:rsidRPr="00B55FEF" w:rsidRDefault="00887EFA" w:rsidP="00887EFA">
      <w:pPr>
        <w:spacing w:after="0" w:line="324" w:lineRule="atLeas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(процентов): 2017 год - 53,3;</w:t>
      </w:r>
    </w:p>
    <w:p w:rsidR="00887EFA" w:rsidRPr="00B55FEF" w:rsidRDefault="00887EFA" w:rsidP="00887EFA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>2018   год - 53,6; 2019 год -53,9;</w:t>
      </w:r>
    </w:p>
    <w:p w:rsidR="00887EFA" w:rsidRPr="00B55FEF" w:rsidRDefault="00887EFA" w:rsidP="00887EFA">
      <w:pPr>
        <w:spacing w:after="0" w:line="324" w:lineRule="atLeas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доля пациентов с инфарктом миокарда, госпитализированных </w:t>
      </w:r>
      <w:proofErr w:type="gramStart"/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часов от начала заболевания, в общем количестве госпитализированных пациентов с инфарктом миокарда (процентов): 2017 год - 28,5; 2018 год - 28,6;</w:t>
      </w:r>
    </w:p>
    <w:p w:rsidR="00887EFA" w:rsidRPr="00B55FEF" w:rsidRDefault="00887EFA" w:rsidP="00887EFA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>2019   год-28,7;</w:t>
      </w:r>
    </w:p>
    <w:p w:rsidR="00887EFA" w:rsidRPr="00B55FEF" w:rsidRDefault="00887EFA" w:rsidP="00887EFA">
      <w:pPr>
        <w:spacing w:after="0" w:line="324" w:lineRule="atLeas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доля пациентов с острым инфарктом миокарда, которым проведена </w:t>
      </w:r>
      <w:proofErr w:type="spellStart"/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тромболитическая</w:t>
      </w:r>
      <w:proofErr w:type="spellEnd"/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терапия, в общем количестве пациентов с острым инфарктом миокарда (процентов): 2017 год - 18,5; 2018 год - 18,6; 2019 год - 18,8;</w:t>
      </w:r>
    </w:p>
    <w:p w:rsidR="00887EFA" w:rsidRPr="00B55FEF" w:rsidRDefault="00887EFA" w:rsidP="00887EFA">
      <w:pPr>
        <w:spacing w:after="0" w:line="324" w:lineRule="atLeas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доля пациентов с острым инфарктом миокарда, которым проведено </w:t>
      </w:r>
      <w:proofErr w:type="spellStart"/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стентирование</w:t>
      </w:r>
      <w:proofErr w:type="spellEnd"/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коронарных артерий, в общем количестве пациентов с острым инфарктом миокарда (процентов): 2017 год - 34,0; 2018 год - 35,0; 2019 год - 35,5;</w:t>
      </w:r>
    </w:p>
    <w:p w:rsidR="00887EFA" w:rsidRPr="00B55FEF" w:rsidRDefault="00887EFA" w:rsidP="00887EFA">
      <w:pPr>
        <w:spacing w:after="0" w:line="324" w:lineRule="atLeas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доля пациентов с острым и повторным инфарктом миокарда, которым выездной бригадой скорой медицинской помощи проведен </w:t>
      </w:r>
      <w:proofErr w:type="spellStart"/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тромболизис</w:t>
      </w:r>
      <w:proofErr w:type="spellEnd"/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 (процентов): 2017 год - 9,3; 2018 год - 9,4; 2019 год - 9,5;</w:t>
      </w:r>
    </w:p>
    <w:p w:rsidR="00887EFA" w:rsidRPr="00B55FEF" w:rsidRDefault="00887EFA" w:rsidP="00887EFA">
      <w:pPr>
        <w:spacing w:after="0" w:line="319" w:lineRule="atLeas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доля пациентов с острыми цереброваскулярными болезнями, госпитализированных </w:t>
      </w:r>
      <w:proofErr w:type="gramStart"/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часов от начала заболевания, в общем количестве госпитализированных пациентов с острыми цереброваскулярными болезнями (процентов): 2017 год - 68,5; 2018 год - 68,7; 2019 год - 68,7;</w:t>
      </w:r>
    </w:p>
    <w:p w:rsidR="00887EFA" w:rsidRPr="00B55FEF" w:rsidRDefault="00887EFA" w:rsidP="00887EFA">
      <w:pPr>
        <w:spacing w:after="0" w:line="319" w:lineRule="atLeas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доля пациентов с острым ишемическим инсультом, которым проведена </w:t>
      </w:r>
      <w:proofErr w:type="spellStart"/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тромболитическая</w:t>
      </w:r>
      <w:proofErr w:type="spellEnd"/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 </w:t>
      </w:r>
      <w:proofErr w:type="gramStart"/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часов госпитализации, в общем количестве пациентов с острым ишемическим инсультом (процентов): 2017 год - 2,0; 2018 год - 2,0; 2019 год - 2,0;</w:t>
      </w:r>
    </w:p>
    <w:p w:rsidR="00887EFA" w:rsidRPr="00B55FEF" w:rsidRDefault="00887EFA" w:rsidP="00887EFA">
      <w:pPr>
        <w:spacing w:after="0" w:line="324" w:lineRule="atLeas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обоснованных жалоб, в том числе на отказ в оказании медицинской помощи, предоставляемой в рамках Программы (единиц):</w:t>
      </w:r>
    </w:p>
    <w:p w:rsidR="00887EFA" w:rsidRPr="00B55FEF" w:rsidRDefault="00887EFA" w:rsidP="00887EFA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>2017   год - 26; 2018 год - 26; 2019 год - 25.</w:t>
      </w:r>
    </w:p>
    <w:p w:rsidR="00887EFA" w:rsidRPr="00B55FEF" w:rsidRDefault="00887EFA" w:rsidP="00887EFA">
      <w:pPr>
        <w:spacing w:after="0" w:line="324" w:lineRule="atLeas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доступности медицинской помощи являются: </w:t>
      </w:r>
      <w:proofErr w:type="gramStart"/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условиях: 2017 год -</w:t>
      </w:r>
    </w:p>
    <w:p w:rsidR="00887EFA" w:rsidRPr="00B55FEF" w:rsidRDefault="00887EFA" w:rsidP="00887EFA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>40.2,       включая городское население - 36,5, сельское население - 18,1, в амбулаторных условиях - 22,6, в стационарных условиях - 17,6; 2018 год -</w:t>
      </w:r>
    </w:p>
    <w:p w:rsidR="00887EFA" w:rsidRPr="00B55FEF" w:rsidRDefault="00887EFA" w:rsidP="00887EFA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40.2,       включая городское население - 36,5, сельское население - 18,1, в амбулаторных условиях - 22,7, в стационарных условиях - 17,5; 2019 год -</w:t>
      </w:r>
    </w:p>
    <w:p w:rsidR="00887EFA" w:rsidRPr="00B55FEF" w:rsidRDefault="00887EFA" w:rsidP="00887EFA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>40.2,       включая городское население - 36,5, сельское население - 18,1, в амбулаторных условиях - 22,8, в стационарных условиях - 17,4;</w:t>
      </w:r>
    </w:p>
    <w:p w:rsidR="00887EFA" w:rsidRPr="00B55FEF" w:rsidRDefault="00887EFA" w:rsidP="00887EFA">
      <w:pPr>
        <w:spacing w:after="0" w:line="324" w:lineRule="atLeas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условиях: 2017 год - 97,2, включая городское население - 76,4, сельское население - 69,5, в амбулаторных условиях - 43,3, в стационарных условиях - 53,9; 2018 год - 97,2, включая городское население - 76,4, сельское население - 69,5, в амбулаторных условиях - 43,3, в стационарных условиях - 53,9; 2019 год - 97,2, включая городское население - 76,4, сельское население - 69,5, в амбулаторных условиях - 43,3, в стационарных условиях - 53,9;</w:t>
      </w:r>
    </w:p>
    <w:p w:rsidR="00887EFA" w:rsidRPr="00B55FEF" w:rsidRDefault="00887EFA" w:rsidP="00887EFA">
      <w:pPr>
        <w:spacing w:after="0" w:line="324" w:lineRule="atLeas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доля расходов на оказание медицинской помощи в условиях дневных стационаров в общих расходах на Программу (процентов): 2017 год - 6,4;</w:t>
      </w:r>
    </w:p>
    <w:p w:rsidR="00887EFA" w:rsidRPr="00B55FEF" w:rsidRDefault="00887EFA" w:rsidP="00887EFA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>2018   год - 6,4; 2019 год - 6,4;</w:t>
      </w:r>
    </w:p>
    <w:p w:rsidR="00887EFA" w:rsidRPr="00B55FEF" w:rsidRDefault="00887EFA" w:rsidP="00887EFA">
      <w:pPr>
        <w:spacing w:after="0" w:line="324" w:lineRule="atLeas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 доля расходов </w:t>
      </w:r>
      <w:proofErr w:type="gramStart"/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медицинской помощи в амбулаторных условиях в неотложной форме в общих расходах на Программу</w:t>
      </w:r>
      <w:proofErr w:type="gramEnd"/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(процентов):</w:t>
      </w:r>
    </w:p>
    <w:p w:rsidR="00887EFA" w:rsidRPr="00B55FEF" w:rsidRDefault="00887EFA" w:rsidP="00887EFA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>2017   год -2,4; 2018 год - 2,4; 2019 год - 2,4;</w:t>
      </w:r>
    </w:p>
    <w:p w:rsidR="00887EFA" w:rsidRPr="00B55FEF" w:rsidRDefault="00887EFA" w:rsidP="00887EFA">
      <w:pPr>
        <w:spacing w:after="0" w:line="324" w:lineRule="atLeas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доля охвата профилактическими медицинскими осмотрами детей, в том числе городских и сельских жителей (процентов): 2017 год - 95,0, в том числе проживающих в городской местности - 95,0, сельской местности - 95,0;</w:t>
      </w:r>
    </w:p>
    <w:p w:rsidR="00887EFA" w:rsidRPr="00B55FEF" w:rsidRDefault="00887EFA" w:rsidP="00887EFA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   год - 95,0, в том числе </w:t>
      </w:r>
      <w:proofErr w:type="gramStart"/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городской местности - 95,0, сельской местности - 95,0; 2019 год - 95,0, в том числе проживающих в городской местности - 95,0, сельской местности - 95,0;</w:t>
      </w:r>
    </w:p>
    <w:p w:rsidR="00887EFA" w:rsidRPr="00B55FEF" w:rsidRDefault="00887EFA" w:rsidP="00887EFA">
      <w:pPr>
        <w:spacing w:after="0" w:line="324" w:lineRule="atLeas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(процентов): 2017 год - 0,82; 2018 год - 0,83; 2019 год - 0,83;</w:t>
      </w:r>
    </w:p>
    <w:p w:rsidR="00887EFA" w:rsidRPr="00B55FEF" w:rsidRDefault="00887EFA" w:rsidP="00887EFA">
      <w:pPr>
        <w:spacing w:after="0" w:line="324" w:lineRule="atLeas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число лиц, проживающих в сельской местности, которым оказана скорая медицинская помощь (на 1 тыс. человек сельского населения): 2017 год - 146,0; 2018 год - 145,0; 2019 год - 144,0;</w:t>
      </w:r>
    </w:p>
    <w:p w:rsidR="00887EFA" w:rsidRPr="00B55FEF" w:rsidRDefault="00887EFA" w:rsidP="00887EFA">
      <w:pPr>
        <w:spacing w:after="335" w:line="324" w:lineRule="atLeas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FE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 (процентов): 2017 год - 9,9; 2018 год - 9,8; 2019 год - 9,7.</w:t>
      </w:r>
    </w:p>
    <w:p w:rsidR="00587164" w:rsidRPr="00887EFA" w:rsidRDefault="00887EFA" w:rsidP="00887EFA">
      <w:pPr>
        <w:jc w:val="both"/>
        <w:rPr>
          <w:sz w:val="28"/>
          <w:szCs w:val="28"/>
        </w:rPr>
      </w:pPr>
    </w:p>
    <w:sectPr w:rsidR="00587164" w:rsidRPr="0088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FA"/>
    <w:rsid w:val="003808DF"/>
    <w:rsid w:val="00887EFA"/>
    <w:rsid w:val="0099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 Елена Владимировна</dc:creator>
  <cp:lastModifiedBy>Король Елена Владимировна</cp:lastModifiedBy>
  <cp:revision>1</cp:revision>
  <dcterms:created xsi:type="dcterms:W3CDTF">2017-03-28T07:39:00Z</dcterms:created>
  <dcterms:modified xsi:type="dcterms:W3CDTF">2017-03-28T07:40:00Z</dcterms:modified>
</cp:coreProperties>
</file>